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План работы методического объединения </w:t>
        <w:br/>
        <w:t>учителей биологии, географии, химии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на 201</w:t>
      </w:r>
      <w:r>
        <w:rPr>
          <w:rFonts w:ascii="Times New Roman" w:cs="Times New Roman" w:hAnsi="Times New Roman"/>
          <w:b/>
          <w:sz w:val="24"/>
          <w:szCs w:val="24"/>
        </w:rPr>
        <w:t>9</w:t>
      </w:r>
      <w:r>
        <w:rPr>
          <w:rFonts w:ascii="Times New Roman" w:cs="Times New Roman" w:hAnsi="Times New Roman"/>
          <w:b/>
          <w:sz w:val="24"/>
          <w:szCs w:val="24"/>
        </w:rPr>
        <w:t>-20</w:t>
      </w:r>
      <w:r>
        <w:rPr>
          <w:rFonts w:ascii="Times New Roman" w:cs="Times New Roman" w:hAnsi="Times New Roman"/>
          <w:b/>
          <w:sz w:val="24"/>
          <w:szCs w:val="24"/>
        </w:rPr>
        <w:t>20</w:t>
      </w:r>
      <w:r>
        <w:rPr>
          <w:rFonts w:ascii="Times New Roman" w:cs="Times New Roman" w:hAnsi="Times New Roman"/>
          <w:b/>
          <w:sz w:val="24"/>
          <w:szCs w:val="24"/>
        </w:rPr>
        <w:t xml:space="preserve"> учебный год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</w:r>
    </w:p>
    <w:p>
      <w:pPr>
        <w:pStyle w:val="style0"/>
        <w:shd w:fill="FFFFFF" w:val="clear"/>
        <w:spacing w:line="100" w:lineRule="atLeast"/>
        <w:rPr>
          <w:rFonts w:ascii="Times New Roman" w:cs="Times New Roman" w:hAnsi="Times New Roman"/>
          <w:b w:val="false"/>
          <w:bCs w:val="false"/>
          <w:sz w:val="24"/>
          <w:szCs w:val="24"/>
          <w:u w:val="none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1. Тема работы МО</w:t>
      </w:r>
      <w:r>
        <w:rPr>
          <w:rFonts w:ascii="Times New Roman" w:cs="Times New Roman" w:hAnsi="Times New Roman"/>
          <w:sz w:val="24"/>
          <w:szCs w:val="24"/>
          <w:shd w:fill="FFFFFF" w:val="clear"/>
        </w:rPr>
        <w:t xml:space="preserve">: 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  <w:shd w:fill="FFFFFF" w:val="clear"/>
        </w:rPr>
        <w:t>«Формирование ключевых компетентностей обучающихся по естественнонаучным дисциплинам в условиях использования образовательных дистанционных технологий для успешной реализации ФГОС второго поколения»».</w:t>
      </w:r>
    </w:p>
    <w:p>
      <w:pPr>
        <w:pStyle w:val="style0"/>
        <w:shd w:fill="FFFFFF" w:val="clear"/>
        <w:spacing w:line="100" w:lineRule="atLeast"/>
        <w:rPr>
          <w:rFonts w:ascii="Times New Roman" w:cs="Times New Roman" w:hAnsi="Times New Roman"/>
          <w:b w:val="false"/>
          <w:bCs w:val="false"/>
          <w:sz w:val="24"/>
          <w:szCs w:val="24"/>
          <w:u w:val="none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u w:val="none"/>
          <w:shd w:fill="FFFFFF" w:val="clear"/>
        </w:rPr>
        <w:t>2. Цель</w:t>
      </w:r>
      <w:r>
        <w:rPr>
          <w:rFonts w:ascii="Times New Roman" w:cs="Times New Roman" w:hAnsi="Times New Roman"/>
          <w:b w:val="false"/>
          <w:bCs w:val="false"/>
          <w:sz w:val="24"/>
          <w:szCs w:val="24"/>
          <w:u w:val="none"/>
          <w:shd w:fill="FFFFFF" w:val="clear"/>
        </w:rPr>
        <w:t>: создание условий для формирования у обучающихся ключевых компетентностей обучающихся по естественнонаучным дисциплинам в условиях использования образовательных дистанционных технологий для успешной реализации ФГОС второго поколения.</w:t>
      </w:r>
    </w:p>
    <w:p>
      <w:pPr>
        <w:pStyle w:val="style0"/>
        <w:shd w:fill="FFFFFF" w:val="clear"/>
        <w:spacing w:line="100" w:lineRule="atLeast"/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3. Задачи:</w:t>
      </w:r>
    </w:p>
    <w:p>
      <w:pPr>
        <w:pStyle w:val="style61"/>
        <w:shd w:fill="FFFFFF" w:val="clear"/>
        <w:spacing w:line="100" w:lineRule="atLeast"/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Вести работу по развитию ведущих компетентностей учащихся.</w:t>
      </w:r>
    </w:p>
    <w:p>
      <w:pPr>
        <w:pStyle w:val="style6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Реализовать общеобразовательные программы ФКГОС и ФГОС  в условиях использования образовательных дистанционных технологий; </w:t>
      </w:r>
    </w:p>
    <w:p>
      <w:pPr>
        <w:pStyle w:val="style6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Организовать взаимопосещение уроков учителей в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учебном году для обмена опытом в рамках внедрения ФГОС; </w:t>
      </w:r>
    </w:p>
    <w:p>
      <w:pPr>
        <w:pStyle w:val="style6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тесную взаимосвязь учителей МО с психологом, дифектологом в целях решения проблем взаимодействия учителей и обучающихся;</w:t>
      </w:r>
    </w:p>
    <w:p>
      <w:pPr>
        <w:pStyle w:val="style61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Содействие раскрытию творческого потенциала учащихся через уроки и внеклассную работу на основе новых образовательных технологий. </w:t>
      </w:r>
    </w:p>
    <w:p>
      <w:pPr>
        <w:pStyle w:val="style61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Повышать результативности работы по самообразованию, использование рациональных методов, приемов техники и технологии обучения и воспитания;</w:t>
      </w:r>
      <w:r>
        <w:rPr>
          <w:rFonts w:ascii="Times New Roman" w:cs="Times New Roman" w:hAnsi="Times New Roman"/>
          <w:sz w:val="24"/>
          <w:szCs w:val="24"/>
        </w:rPr>
        <w:br/>
        <w:t>Изучение нормативно-правовой, методической базы по введению ФГОС ООО;</w:t>
      </w:r>
    </w:p>
    <w:p>
      <w:pPr>
        <w:pStyle w:val="style6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Повышение профессионального уровня педагогов МО через углубленную работу по выбранной теме самообразования, изучение педагогической и методической литературы, прохождение курсов повышения квалификации, внедрение в учебный процесс инновационных технологий, аттестацию педагогов, участие учителей в творческих профессиональных конкурсах</w:t>
      </w:r>
      <w:r>
        <w:rPr>
          <w:rFonts w:ascii="Times New Roman" w:hAnsi="Times New Roman"/>
          <w:sz w:val="24"/>
          <w:szCs w:val="24"/>
        </w:rPr>
        <w:t xml:space="preserve">; </w:t>
      </w:r>
    </w:p>
    <w:p>
      <w:pPr>
        <w:pStyle w:val="style6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Повышение качества преподавания и динамики повышения качества предметных умений и навыков. Мониторинг и диагностика образовательных достижений обучающихся. </w:t>
      </w:r>
    </w:p>
    <w:p>
      <w:pPr>
        <w:pStyle w:val="style6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Обобщение и распространения передового опыта учителей на заседаниях МО, семинарах, конференциях, форумах, сайтах, блогах. </w:t>
      </w:r>
    </w:p>
    <w:p>
      <w:pPr>
        <w:pStyle w:val="style6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достижений передового педагогического опыта и достижений педагогической науки и практики. </w:t>
      </w:r>
    </w:p>
    <w:p>
      <w:pPr>
        <w:pStyle w:val="style61"/>
        <w:numPr>
          <w:ilvl w:val="0"/>
          <w:numId w:val="1"/>
        </w:numPr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Сохранение здоровья обучающихся.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4. Основные направления деятельности МО:</w:t>
      </w:r>
    </w:p>
    <w:tbl>
      <w:tblPr>
        <w:jc w:val="left"/>
        <w:tblInd w:type="dxa" w:w="-8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8"/>
          <w:bottom w:type="dxa" w:w="0"/>
          <w:right w:type="dxa" w:w="108"/>
        </w:tblCellMar>
      </w:tblPr>
      <w:tblGrid>
        <w:gridCol w:w="3285"/>
        <w:gridCol w:w="6306"/>
      </w:tblGrid>
      <w:tr>
        <w:trPr>
          <w:cantSplit w:val="false"/>
        </w:trPr>
        <w:tc>
          <w:tcPr>
            <w:tcW w:type="dxa" w:w="3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Направления работы</w:t>
            </w:r>
          </w:p>
        </w:tc>
        <w:tc>
          <w:tcPr>
            <w:tcW w:type="dxa" w:w="6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Содержание работы</w:t>
            </w:r>
          </w:p>
        </w:tc>
      </w:tr>
      <w:tr>
        <w:trPr>
          <w:cantSplit w:val="false"/>
        </w:trPr>
        <w:tc>
          <w:tcPr>
            <w:tcW w:type="dxa" w:w="3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Повышение методического уровня</w:t>
            </w:r>
          </w:p>
        </w:tc>
        <w:tc>
          <w:tcPr>
            <w:tcW w:type="dxa" w:w="6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1. Изучить материалы по внедрению ФГОС ООО. Повысить профессиональную компетентность педагогов по внедрению ФГОС ООО  в 5-х  - 9 –х классах. </w:t>
            </w:r>
          </w:p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2. Проводить открытые уроки, круглые столы по вопросам методики преподавания предметов. </w:t>
            </w:r>
          </w:p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3.  Участвовать в профессиональных конкурсахи т.д.</w:t>
            </w:r>
          </w:p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4. Участвовать в работе педагогических советов, научно-практических конференций,  семинаров. </w:t>
            </w:r>
          </w:p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5. Использовать опыт передовых учителей. </w:t>
            </w:r>
          </w:p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6. Обобщить и распространить опыт работы учителей ШМО. </w:t>
            </w:r>
          </w:p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 xml:space="preserve">7. Повысить свою квалификацию, обучаясь в различных очных и дистанционных курсах по повышению квалификации учителей. </w:t>
            </w:r>
          </w:p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color w:val="00000A"/>
                <w:sz w:val="24"/>
                <w:szCs w:val="24"/>
              </w:rPr>
            </w:pPr>
            <w:r>
              <w:rPr>
                <w:color w:val="00000A"/>
                <w:sz w:val="24"/>
                <w:szCs w:val="24"/>
              </w:rPr>
              <w:t>8. Подготовка и проведение методической недели.</w:t>
            </w:r>
          </w:p>
        </w:tc>
      </w:tr>
      <w:tr>
        <w:trPr>
          <w:cantSplit w:val="false"/>
        </w:trPr>
        <w:tc>
          <w:tcPr>
            <w:tcW w:type="dxa" w:w="3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Повышение успеваемости и качества знаний по предмету</w:t>
            </w:r>
          </w:p>
        </w:tc>
        <w:tc>
          <w:tcPr>
            <w:tcW w:type="dxa" w:w="6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Добиваться усвоения знаний и навыков по предмету в соответствии с требованиями государственных стандартов образования. </w:t>
            </w:r>
          </w:p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Применять современные, инновационные методы обучения. </w:t>
            </w:r>
          </w:p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Вести целенаправленную работу, направленную на стабилизацию уровня качества знаний обучающихся. </w:t>
            </w:r>
          </w:p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Повышение роли мотивационной деятельности ученика на уроке. </w:t>
            </w:r>
          </w:p>
          <w:p>
            <w:pPr>
              <w:pStyle w:val="style67"/>
              <w:spacing w:after="36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Создать комфортные условия работы для всех учащихся на уроках. </w:t>
            </w:r>
          </w:p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Вести качественную работу по подготовке учащихся к итоговой аттестации. </w:t>
            </w:r>
          </w:p>
        </w:tc>
      </w:tr>
      <w:tr>
        <w:trPr>
          <w:cantSplit w:val="false"/>
        </w:trPr>
        <w:tc>
          <w:tcPr>
            <w:tcW w:type="dxa" w:w="3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Работа с высокомотивированными и одаренными детьми</w:t>
            </w:r>
          </w:p>
        </w:tc>
        <w:tc>
          <w:tcPr>
            <w:tcW w:type="dxa" w:w="6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Выявление одаренных детей по результатам творческих заданий по предмету, олимпиадам. </w:t>
            </w:r>
          </w:p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Обучение учащихся работе с научной литературой, со справочниками по предмету; использованию Интернета для получения дополнительного материала. </w:t>
            </w:r>
          </w:p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и участие в конкурсах и заочных олимпиадах по предмету. </w:t>
            </w:r>
          </w:p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Способствовать творческому росту ученика, создавая комфортные условия для развития его личности. </w:t>
            </w:r>
          </w:p>
        </w:tc>
      </w:tr>
      <w:tr>
        <w:trPr>
          <w:cantSplit w:val="false"/>
        </w:trPr>
        <w:tc>
          <w:tcPr>
            <w:tcW w:type="dxa" w:w="3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Инновационная и экспериментальная деятельность</w:t>
            </w:r>
          </w:p>
        </w:tc>
        <w:tc>
          <w:tcPr>
            <w:tcW w:type="dxa" w:w="6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1. Участие в образовательной программе «Школьная лига РОСНАНО».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2. Изучение научно – методической литературы по проблеме инновационной деятельности.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3. Изучение инновационных технологий по работе с детьми с ОВЗ.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4. Внедрение современных педагогических технологий.</w:t>
              <w:br/>
              <w:t>- Информационно – коммуникационная технология</w:t>
            </w:r>
          </w:p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Технология развития критического мышления</w:t>
              <w:br/>
              <w:t>- Проектная технология</w:t>
              <w:br/>
              <w:t>- Технология развивающего обучения</w:t>
              <w:br/>
              <w:t>- Здоровьесберегающие технологии</w:t>
              <w:br/>
              <w:t>- Технология проблемного обучения</w:t>
              <w:br/>
              <w:t>- Игровые технологии</w:t>
              <w:br/>
              <w:t>- Педагогика сотрудничества.</w:t>
              <w:br/>
              <w:t>- Технологии уровневой дифференциации</w:t>
              <w:br/>
              <w:t>5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>. Подготовка печатных публикаций.</w:t>
              <w:br/>
              <w:t>6. Обобщение опыта работы учителей.</w:t>
              <w:br/>
              <w:t>7. Выявление затруднений педагога при осуществлении инновационной деятельности.</w:t>
              <w:br/>
              <w:t>8. Методические мероприятия, направленные на повышение уровня педагогического мастерства и позволяющие наиболее эффективно реализовать инновации в образовательном процессе (семинары, практикумы, консультации, открытые уроки, мастер-классы и т.д.)</w:t>
            </w:r>
          </w:p>
        </w:tc>
      </w:tr>
      <w:tr>
        <w:trPr>
          <w:cantSplit w:val="false"/>
        </w:trPr>
        <w:tc>
          <w:tcPr>
            <w:tcW w:type="dxa" w:w="328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Внеклассная работа</w:t>
            </w:r>
          </w:p>
        </w:tc>
        <w:tc>
          <w:tcPr>
            <w:tcW w:type="dxa" w:w="630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36" w:before="0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Подготовка и проведение предметной недели .</w:t>
            </w:r>
          </w:p>
          <w:p>
            <w:pPr>
              <w:pStyle w:val="style67"/>
              <w:spacing w:after="36" w:before="0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Проведение дистанционных Всероссийских олимпиад школьников. </w:t>
            </w:r>
          </w:p>
          <w:p>
            <w:pPr>
              <w:pStyle w:val="style67"/>
              <w:spacing w:after="0" w:before="0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Подготовка учащихся к участию в различных олимпиадах и конкурсах по предмету. </w:t>
            </w:r>
          </w:p>
        </w:tc>
      </w:tr>
    </w:tbl>
    <w:p>
      <w:pPr>
        <w:pStyle w:val="style0"/>
        <w:spacing w:after="0" w:before="0"/>
        <w:contextualSpacing w:val="false"/>
        <w:jc w:val="left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5. Характеристика педагогических кадров</w:t>
      </w:r>
    </w:p>
    <w:p>
      <w:pPr>
        <w:pStyle w:val="style0"/>
        <w:spacing w:after="0" w:before="0"/>
        <w:contextualSpacing w:val="fals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jc w:val="left"/>
        <w:tblInd w:type="dxa" w:w="-343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val="nil"/>
          <w:insideV w:val="nil"/>
        </w:tblBorders>
        <w:tblCellMar>
          <w:top w:type="dxa" w:w="0"/>
          <w:left w:type="dxa" w:w="68"/>
          <w:bottom w:type="dxa" w:w="0"/>
          <w:right w:type="dxa" w:w="108"/>
        </w:tblCellMar>
      </w:tblPr>
      <w:tblGrid>
        <w:gridCol w:w="2654"/>
        <w:gridCol w:w="1810"/>
        <w:gridCol w:w="2225"/>
        <w:gridCol w:w="3840"/>
      </w:tblGrid>
      <w:tr>
        <w:trPr>
          <w:cantSplit w:val="false"/>
        </w:trPr>
        <w:tc>
          <w:tcPr>
            <w:tcW w:type="dxa" w:w="2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tabs>
                <w:tab w:leader="none" w:pos="5670" w:val="left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Преподаваемый предмет</w:t>
            </w:r>
          </w:p>
        </w:tc>
        <w:tc>
          <w:tcPr>
            <w:tcW w:type="dxa" w:w="2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type="dxa" w:w="3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</w:tc>
      </w:tr>
      <w:tr>
        <w:trPr>
          <w:cantSplit w:val="false"/>
        </w:trPr>
        <w:tc>
          <w:tcPr>
            <w:tcW w:type="dxa" w:w="2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Сопина Вера Владимировна</w:t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type="dxa" w:w="2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Высшая, 2018 г.</w:t>
            </w:r>
          </w:p>
        </w:tc>
        <w:tc>
          <w:tcPr>
            <w:tcW w:type="dxa" w:w="3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Высшее, 1997</w:t>
            </w:r>
          </w:p>
          <w:p>
            <w:pPr>
              <w:pStyle w:val="style0"/>
              <w:spacing w:after="0" w:before="0" w:line="260" w:lineRule="exact"/>
              <w:contextualSpacing w:val="false"/>
              <w:jc w:val="center"/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БГПУ им. М.С. Ольминского</w:t>
            </w:r>
          </w:p>
        </w:tc>
      </w:tr>
      <w:tr>
        <w:trPr>
          <w:cantSplit w:val="false"/>
        </w:trPr>
        <w:tc>
          <w:tcPr>
            <w:tcW w:type="dxa" w:w="2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Бажан Ольга Анатольевна</w:t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type="dxa" w:w="2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  <w:t xml:space="preserve">Первая, 2018г. </w:t>
            </w:r>
          </w:p>
        </w:tc>
        <w:tc>
          <w:tcPr>
            <w:tcW w:type="dxa" w:w="3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Высшее, 1993</w:t>
            </w:r>
          </w:p>
          <w:p>
            <w:pPr>
              <w:pStyle w:val="style0"/>
              <w:spacing w:after="0" w:before="0" w:line="260" w:lineRule="exact"/>
              <w:contextualSpacing w:val="false"/>
              <w:jc w:val="center"/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БГПУ им. М.С. Ольминского</w:t>
            </w:r>
          </w:p>
        </w:tc>
      </w:tr>
      <w:tr>
        <w:trPr>
          <w:cantSplit w:val="false"/>
        </w:trPr>
        <w:tc>
          <w:tcPr>
            <w:tcW w:type="dxa" w:w="2654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Быкова Оксана Сергеевна</w:t>
            </w:r>
          </w:p>
        </w:tc>
        <w:tc>
          <w:tcPr>
            <w:tcW w:type="dxa" w:w="181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type="dxa" w:w="222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color w:val="000000"/>
                <w:sz w:val="24"/>
                <w:szCs w:val="24"/>
              </w:rPr>
              <w:t>Высшая, 2018 г.</w:t>
            </w:r>
          </w:p>
        </w:tc>
        <w:tc>
          <w:tcPr>
            <w:tcW w:type="dxa" w:w="384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lang w:eastAsia="ru-RU"/>
              </w:rPr>
              <w:t>Высшее, 2002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  <w:lang w:eastAsia="ru-RU"/>
              </w:rPr>
              <w:t>Белгородский государственный университет</w:t>
            </w:r>
          </w:p>
        </w:tc>
      </w:tr>
      <w:tr>
        <w:trPr>
          <w:cantSplit w:val="false"/>
        </w:trPr>
        <w:tc>
          <w:tcPr>
            <w:tcW w:type="dxa" w:w="2654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</w:rPr>
              <w:t>Лебедев Вячеслав Валерьевич</w:t>
            </w:r>
          </w:p>
        </w:tc>
        <w:tc>
          <w:tcPr>
            <w:tcW w:type="dxa" w:w="1810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tabs>
                <w:tab w:leader="none" w:pos="5670" w:val="left"/>
              </w:tabs>
              <w:spacing w:after="200" w:before="0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География </w:t>
            </w:r>
          </w:p>
        </w:tc>
        <w:tc>
          <w:tcPr>
            <w:tcW w:type="dxa" w:w="2225"/>
            <w:tcBorders>
              <w:top w:val="nil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i w:val="false"/>
                <w:iCs w:val="false"/>
                <w:sz w:val="24"/>
                <w:szCs w:val="24"/>
                <w:shd w:fill="FFFFFF" w:val="clear"/>
              </w:rPr>
              <w:t>б/к</w:t>
            </w:r>
          </w:p>
        </w:tc>
        <w:tc>
          <w:tcPr>
            <w:tcW w:type="dxa" w:w="3840"/>
            <w:tcBorders>
              <w:top w:val="nil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eastAsia="TimesNewRomanPSMT;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  <w:shd w:fill="FFFFFF" w:val="clear"/>
              </w:rPr>
              <w:t>Высшее, БГТУ им В. Г. Шухова, курсы  БелГУ</w:t>
            </w:r>
          </w:p>
        </w:tc>
      </w:tr>
    </w:tbl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6. Перспективный план повышения квалификации педагогических кадров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1. Бажан О.А. -  2022 г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2. Быкова О.С. - 2021 г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3. Сопина В.В. - 2022 г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 w:val="false"/>
          <w:bCs w:val="false"/>
          <w:sz w:val="24"/>
          <w:szCs w:val="24"/>
        </w:rPr>
      </w:pPr>
      <w:r>
        <w:rPr>
          <w:rFonts w:ascii="Times New Roman" w:cs="Times New Roman" w:hAnsi="Times New Roman"/>
          <w:b w:val="false"/>
          <w:bCs w:val="false"/>
          <w:sz w:val="24"/>
          <w:szCs w:val="24"/>
        </w:rPr>
        <w:t>4. Лебедев В.В. - 2022 г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7. План работы МО</w:t>
      </w:r>
    </w:p>
    <w:tbl>
      <w:tblPr>
        <w:jc w:val="left"/>
        <w:tblInd w:type="dxa" w:w="-8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8"/>
          <w:bottom w:type="dxa" w:w="0"/>
          <w:right w:type="dxa" w:w="108"/>
        </w:tblCellMar>
      </w:tblPr>
      <w:tblGrid>
        <w:gridCol w:w="662"/>
        <w:gridCol w:w="5519"/>
        <w:gridCol w:w="1613"/>
        <w:gridCol w:w="2225"/>
      </w:tblGrid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>
        <w:trPr>
          <w:cantSplit w:val="false"/>
        </w:trPr>
        <w:tc>
          <w:tcPr>
            <w:tcW w:type="dxa" w:w="1001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1. Информационное обеспечение. Работа с документами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Изучение методических рекомендаций учителям на 2019-2020  учебный год.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bookmarkStart w:id="0" w:name="__DdeLink__2815_1145112193"/>
            <w:r>
              <w:rPr>
                <w:rFonts w:ascii="Times New Roman" w:cs="Times New Roman" w:hAnsi="Times New Roman"/>
                <w:sz w:val="24"/>
                <w:szCs w:val="24"/>
              </w:rPr>
              <w:t>До 28</w:t>
            </w:r>
            <w:bookmarkEnd w:id="0"/>
            <w:r>
              <w:rPr>
                <w:rFonts w:ascii="Times New Roman" w:cs="Times New Roman" w:hAnsi="Times New Roman"/>
                <w:sz w:val="24"/>
                <w:szCs w:val="24"/>
              </w:rPr>
              <w:t>.08.19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Составление рабочих программ по предметам естественно-математического цикла, проектной деятельности.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 28.08.19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Отчет об участии в олимпиадах и конкурсах различного уровня.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Каждую четверть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Составление экзаменационного материала для промежуточной аттестации обучающихся  по предметам (биологии, географии).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До 10.05.19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1001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2.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Научно-методическая и инновационная работа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Основные направления модернизации учебного процесса: использование деятельностного подхода в обучении предметам естественно-научного цикла.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Данный вопрос рассматривается на каждом заседании МО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Сопина В. В.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Основные направления модернизации учебного процесса: дальнейшее внедрение новых современных технологий, (информационно-коммуникативная  технология, личностно-ориентированная технология, компетентностно-ориентированная технология)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Данный вопрос рассматривается на каждом заседании МО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Быкова О. С.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 xml:space="preserve">Взаимное посещение уроков.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 сентября по май 2019-20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Открытые уроки учителей МО.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МО и члены МО</w:t>
            </w:r>
          </w:p>
        </w:tc>
      </w:tr>
      <w:tr>
        <w:trPr>
          <w:cantSplit w:val="false"/>
        </w:trPr>
        <w:tc>
          <w:tcPr>
            <w:tcW w:type="dxa" w:w="1001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3. Диагностическое обеспечение внутришкольного контроля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индивидуальных планов по подготовке учащихся 9-11 классов к ГИА.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Сентябрь-декабрь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Предварительный анализ готовности учащихся 9-х и 11-х классов к ГИА.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Февраль-Март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Контрольное тестирование по проверке знаний учащихся 9-х, 11-х классов (проверка степени готовности выпускников к итоговой аттестации)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и анализ открытых мероприятий.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Утверждение рабочих программ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Calibri" w:hAnsi="Times New Roman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sz w:val="24"/>
                <w:szCs w:val="24"/>
              </w:rPr>
              <w:t>Проведение и анализ промежуточного контроля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Январь и Май 2020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1001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4. Работа по подготовке к ГИА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программ дополнительных занятий по предметам в рамках подготовки к ОГЭ и ЕГЭ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дополнительных занятий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Декабрь- Январь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1001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5. Обеспечение перехода на ФГОС ООО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действующий семинар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Методическая помощь учителю в условиях введения ФГОС ООО»: 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Метапредметные УУД и метапредметные результаты. </w:t>
            </w:r>
          </w:p>
          <w:p>
            <w:pPr>
              <w:pStyle w:val="style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Технологии формирования метапредметных УУД на различных этапах урока </w:t>
            </w:r>
          </w:p>
          <w:p>
            <w:pPr>
              <w:pStyle w:val="style0"/>
              <w:spacing w:after="200" w:before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Основные принципы разработки метапредметных заданий.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Бажан</w:t>
            </w:r>
            <w:r>
              <w:rPr>
                <w:rFonts w:ascii="Times New Roman" w:cs="Times New Roman" w:hAnsi="Times New Roman"/>
                <w:sz w:val="24"/>
                <w:szCs w:val="24"/>
                <w:u w:val="none"/>
              </w:rPr>
              <w:t xml:space="preserve"> О.А.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Составление рабочих программ с учётом требований ФГОС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программ внеурочной деятельности в условиях перехода к ФГОС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1001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6. Работа по обеспечению профессионального стандарта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Обсуждение нормативно-правовой базы по внедрению профессиональных стандартов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Август 2019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Рук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консультаций по разъяснению положений профессионального стандарта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мероприятиях (вебинарах, курсах, семинарах и т.п.) по теме перехода на ПС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Аттестация работников на соответствие квалификации, изложенной в профстандарте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Администрации ОУ</w:t>
            </w:r>
          </w:p>
        </w:tc>
      </w:tr>
      <w:tr>
        <w:trPr>
          <w:cantSplit w:val="false"/>
        </w:trPr>
        <w:tc>
          <w:tcPr>
            <w:tcW w:type="dxa" w:w="10019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>7. Работа с одаренными детьми</w:t>
            </w:r>
          </w:p>
        </w:tc>
      </w:tr>
      <w:tr>
        <w:trPr>
          <w:trHeight w:hRule="atLeast" w:val="525"/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одаренных детей по результатам творческих заданий по предмету, олимпиадам. 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trHeight w:hRule="atLeast" w:val="326"/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Организация индивидуальных занятий с одаренными детьми, привлечение их к участию в олимпиадах, научно-практических конференциях.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7"/>
              <w:spacing w:after="0" w:before="0" w:line="100" w:lineRule="atLeast"/>
              <w:contextualSpacing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и проектная деятельность учащихся по биологии, географии, химии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Подготовка и участие в конкурсах, очных и заочных олимпиадах по предметам: биология, химия, география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Участие в образовательной программе «Школьная лига РОСНАНО»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Подготовка учащихся к участию в олимпиадах школьников по предметам </w:t>
            </w: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(биология, химия, география)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В течении уч года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Сопина В.В., Бажан О.А., Быкова О.С., Лебедев В.В.</w:t>
            </w:r>
          </w:p>
        </w:tc>
      </w:tr>
      <w:tr>
        <w:trPr>
          <w:cantSplit w:val="false"/>
        </w:trPr>
        <w:tc>
          <w:tcPr>
            <w:tcW w:type="dxa" w:w="66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551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i/>
                <w:sz w:val="24"/>
                <w:szCs w:val="24"/>
              </w:rPr>
              <w:t>Предметная декада биологии, химии, географии</w:t>
            </w:r>
          </w:p>
        </w:tc>
        <w:tc>
          <w:tcPr>
            <w:tcW w:type="dxa" w:w="161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Март 2020</w:t>
            </w:r>
          </w:p>
        </w:tc>
        <w:tc>
          <w:tcPr>
            <w:tcW w:type="dxa" w:w="222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</w:tbl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8.</w:t>
        <w:tab/>
        <w:t>План график проведения мероприятий в рамках предметных, методических недель и тематических месячников</w:t>
      </w:r>
    </w:p>
    <w:tbl>
      <w:tblPr>
        <w:jc w:val="left"/>
        <w:tblInd w:type="dxa" w:w="-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1644"/>
        <w:gridCol w:w="1739"/>
        <w:gridCol w:w="3640"/>
        <w:gridCol w:w="993"/>
        <w:gridCol w:w="2014"/>
      </w:tblGrid>
      <w:tr>
        <w:trPr>
          <w:cantSplit w:val="false"/>
        </w:trPr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Срок (дата)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Мероприятия (тема)</w:t>
            </w:r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</w:tc>
        <w:tc>
          <w:tcPr>
            <w:tcW w:type="dxa" w:w="2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10030"/>
            <w:gridSpan w:val="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color w:val="000000"/>
                <w:sz w:val="24"/>
                <w:szCs w:val="24"/>
              </w:rPr>
              <w:t>Проекты</w:t>
            </w:r>
          </w:p>
        </w:tc>
      </w:tr>
      <w:tr>
        <w:trPr>
          <w:cantSplit w:val="false"/>
        </w:trPr>
        <w:tc>
          <w:tcPr>
            <w:tcW w:type="dxa" w:w="164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rFonts w:ascii="Times New Roman" w:cs="Times New Roman" w:hAnsi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  <w:t>Ноябрь 2019</w:t>
            </w:r>
          </w:p>
        </w:tc>
        <w:tc>
          <w:tcPr>
            <w:tcW w:type="dxa" w:w="173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Биология,  география</w:t>
            </w:r>
          </w:p>
        </w:tc>
        <w:tc>
          <w:tcPr>
            <w:tcW w:type="dxa" w:w="364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Style w:val="style59"/>
                <w:rFonts w:ascii="Times New Roman" w:cs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</w:rPr>
            </w:pPr>
            <w:hyperlink r:id="rId2">
              <w:r>
                <w:rPr>
                  <w:rStyle w:val="style59"/>
                  <w:rFonts w:ascii="Times New Roman" w:cs="Times New Roman" w:hAnsi="Times New Roman"/>
                  <w:b/>
                  <w:i w:val="false"/>
                  <w:caps w:val="false"/>
                  <w:smallCaps w:val="false"/>
                  <w:strike w:val="false"/>
                  <w:dstrike w:val="false"/>
                  <w:color w:val="000000"/>
                  <w:spacing w:val="0"/>
                  <w:sz w:val="24"/>
                  <w:szCs w:val="24"/>
                  <w:u w:val="none"/>
                  <w:effect w:val="none"/>
                </w:rPr>
                <w:t>Синичкин день</w:t>
              </w:r>
            </w:hyperlink>
          </w:p>
        </w:tc>
        <w:tc>
          <w:tcPr>
            <w:tcW w:type="dxa" w:w="99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type="dxa" w:w="20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Сопина В.В.</w:t>
            </w:r>
          </w:p>
        </w:tc>
      </w:tr>
      <w:tr>
        <w:trPr>
          <w:cantSplit w:val="false"/>
        </w:trPr>
        <w:tc>
          <w:tcPr>
            <w:tcW w:type="dxa" w:w="16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Декабрь 2019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type="dxa" w:w="36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гор</w:t>
            </w:r>
          </w:p>
        </w:tc>
        <w:tc>
          <w:tcPr>
            <w:tcW w:type="dxa" w:w="99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type="dxa" w:w="201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Лебедев В.В.</w:t>
            </w:r>
          </w:p>
        </w:tc>
      </w:tr>
      <w:tr>
        <w:trPr>
          <w:cantSplit w:val="false"/>
        </w:trPr>
        <w:tc>
          <w:tcPr>
            <w:tcW w:type="dxa" w:w="16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Март 2020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type="dxa" w:w="36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леса</w:t>
            </w:r>
          </w:p>
        </w:tc>
        <w:tc>
          <w:tcPr>
            <w:tcW w:type="dxa" w:w="99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8-11</w:t>
            </w:r>
          </w:p>
        </w:tc>
        <w:tc>
          <w:tcPr>
            <w:tcW w:type="dxa" w:w="201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Бажан О.А.</w:t>
            </w:r>
          </w:p>
        </w:tc>
      </w:tr>
      <w:tr>
        <w:trPr>
          <w:cantSplit w:val="false"/>
        </w:trPr>
        <w:tc>
          <w:tcPr>
            <w:tcW w:type="dxa" w:w="164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Апрель 2020</w:t>
            </w:r>
          </w:p>
        </w:tc>
        <w:tc>
          <w:tcPr>
            <w:tcW w:type="dxa" w:w="173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Биология, химия, география</w:t>
            </w:r>
          </w:p>
        </w:tc>
        <w:tc>
          <w:tcPr>
            <w:tcW w:type="dxa" w:w="3640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Мирная химия</w:t>
            </w:r>
          </w:p>
        </w:tc>
        <w:tc>
          <w:tcPr>
            <w:tcW w:type="dxa" w:w="99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type="dxa" w:w="201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Быкова О.С.</w:t>
            </w:r>
          </w:p>
        </w:tc>
      </w:tr>
      <w:tr>
        <w:trPr>
          <w:cantSplit w:val="false"/>
        </w:trPr>
        <w:tc>
          <w:tcPr>
            <w:tcW w:type="dxa" w:w="10030"/>
            <w:gridSpan w:val="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color w:val="000000"/>
                <w:sz w:val="24"/>
                <w:szCs w:val="24"/>
              </w:rPr>
              <w:t>Предметная неделя биологии, химии, географии</w:t>
            </w:r>
          </w:p>
          <w:p>
            <w:pPr>
              <w:pStyle w:val="style0"/>
              <w:spacing w:after="0" w:before="0" w:line="100" w:lineRule="atLeast"/>
              <w:ind w:firstLine="567" w:left="0" w:right="0"/>
              <w:contextualSpacing w:val="false"/>
              <w:jc w:val="center"/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 w:val="false"/>
                <w:bCs w:val="false"/>
                <w:i w:val="false"/>
                <w:iCs w:val="false"/>
                <w:color w:val="000000"/>
                <w:sz w:val="24"/>
                <w:szCs w:val="24"/>
              </w:rPr>
              <w:t>Цель: вовлечение обучающихся в самостоятельную творческую деятельность, повышения их интереса к изучаемым дисциплинам.</w:t>
            </w:r>
          </w:p>
        </w:tc>
      </w:tr>
    </w:tbl>
    <w:p>
      <w:pPr>
        <w:pStyle w:val="style0"/>
        <w:spacing w:after="0" w:before="0" w:line="100" w:lineRule="atLeast"/>
        <w:ind w:firstLine="567" w:left="0" w:right="0"/>
        <w:contextualSpacing w:val="false"/>
        <w:jc w:val="both"/>
        <w:rPr/>
      </w:pPr>
      <w:r>
        <w:rPr/>
      </w:r>
    </w:p>
    <w:tbl>
      <w:tblPr>
        <w:jc w:val="left"/>
        <w:tblInd w:type="dxa" w:w="-53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68"/>
          <w:bottom w:type="dxa" w:w="0"/>
          <w:right w:type="dxa" w:w="108"/>
        </w:tblCellMar>
      </w:tblPr>
      <w:tblGrid>
        <w:gridCol w:w="2228"/>
        <w:gridCol w:w="4143"/>
        <w:gridCol w:w="1055"/>
        <w:gridCol w:w="2041"/>
      </w:tblGrid>
      <w:tr>
        <w:trPr>
          <w:trHeight w:hRule="atLeast" w:val="708"/>
          <w:cantSplit w:val="false"/>
        </w:trPr>
        <w:tc>
          <w:tcPr>
            <w:tcW w:type="dxa" w:w="2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  <w:vAlign w:val="center"/>
          </w:tcPr>
          <w:p>
            <w:pPr>
              <w:pStyle w:val="style61"/>
              <w:spacing w:after="120" w:before="0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type="dxa" w:w="41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  <w:vAlign w:val="center"/>
          </w:tcPr>
          <w:p>
            <w:pPr>
              <w:pStyle w:val="style61"/>
              <w:spacing w:after="120" w:before="0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type="dxa" w:w="10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type="dxa" w:w="2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jc w:val="center"/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>
        <w:trPr>
          <w:trHeight w:hRule="atLeast" w:val="882"/>
          <w:cantSplit w:val="false"/>
        </w:trPr>
        <w:tc>
          <w:tcPr>
            <w:tcW w:type="dxa" w:w="222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type="dxa" w:w="41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b w:val="false"/>
                <w:color w:val="222222"/>
                <w:sz w:val="24"/>
                <w:szCs w:val="24"/>
                <w:shd w:fill="FFFFFF" w:val="clear"/>
              </w:rPr>
              <w:t>Конкурс рисунков «Птицы вокруг нас»</w:t>
            </w:r>
          </w:p>
        </w:tc>
        <w:tc>
          <w:tcPr>
            <w:tcW w:type="dxa" w:w="10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  <w:vAlign w:val="center"/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 xml:space="preserve">5-11 </w:t>
            </w:r>
          </w:p>
        </w:tc>
        <w:tc>
          <w:tcPr>
            <w:tcW w:type="dxa" w:w="2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>Сопина В.В.</w:t>
              <w:br/>
              <w:t>Бакушева Е.М.</w:t>
            </w:r>
          </w:p>
        </w:tc>
      </w:tr>
      <w:tr>
        <w:trPr>
          <w:trHeight w:hRule="atLeast" w:val="693"/>
          <w:cantSplit w:val="false"/>
        </w:trPr>
        <w:tc>
          <w:tcPr>
            <w:tcW w:type="dxa" w:w="222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1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222222"/>
                <w:sz w:val="24"/>
                <w:szCs w:val="24"/>
                <w:shd w:fill="FFFFFF" w:val="clear"/>
              </w:rPr>
            </w:pPr>
            <w:r>
              <w:rPr>
                <w:rFonts w:ascii="Times New Roman" w:cs="Times New Roman" w:hAnsi="Times New Roman"/>
                <w:b w:val="false"/>
                <w:color w:val="222222"/>
                <w:sz w:val="24"/>
                <w:szCs w:val="24"/>
                <w:shd w:fill="FFFFFF" w:val="clear"/>
              </w:rPr>
              <w:t>Виртуальная экскурсия «Птичьи заповедники»</w:t>
            </w:r>
          </w:p>
        </w:tc>
        <w:tc>
          <w:tcPr>
            <w:tcW w:type="dxa" w:w="10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2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>Сопина В.В.</w:t>
              <w:br/>
              <w:t>Бажан О.А.</w:t>
              <w:br/>
              <w:t>Пислица Е.К.</w:t>
            </w:r>
          </w:p>
        </w:tc>
      </w:tr>
      <w:tr>
        <w:trPr>
          <w:trHeight w:hRule="atLeast" w:val="447"/>
          <w:cantSplit w:val="false"/>
        </w:trPr>
        <w:tc>
          <w:tcPr>
            <w:tcW w:type="dxa" w:w="2228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type="dxa" w:w="41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 xml:space="preserve">Демонстрация презентации и беседа с обучающимися «Великие орнитологи» </w:t>
            </w:r>
          </w:p>
        </w:tc>
        <w:tc>
          <w:tcPr>
            <w:tcW w:type="dxa" w:w="1055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  <w:vAlign w:val="center"/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5-11 </w:t>
            </w:r>
          </w:p>
        </w:tc>
        <w:tc>
          <w:tcPr>
            <w:tcW w:type="dxa" w:w="2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>Сопина В.В.</w:t>
              <w:br/>
              <w:t>Пислица Е.К.</w:t>
            </w:r>
          </w:p>
        </w:tc>
      </w:tr>
      <w:tr>
        <w:trPr>
          <w:trHeight w:hRule="atLeast" w:val="840"/>
          <w:cantSplit w:val="false"/>
        </w:trPr>
        <w:tc>
          <w:tcPr>
            <w:tcW w:type="dxa" w:w="222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1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>Развивающее тематическое занятие «Птичий вестник»</w:t>
            </w:r>
          </w:p>
        </w:tc>
        <w:tc>
          <w:tcPr>
            <w:tcW w:type="dxa" w:w="1055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  <w:vAlign w:val="center"/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2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>Сопина В.В.</w:t>
              <w:br/>
              <w:t>Бажан О.А.</w:t>
            </w:r>
          </w:p>
        </w:tc>
      </w:tr>
      <w:tr>
        <w:trPr>
          <w:trHeight w:hRule="atLeast" w:val="706"/>
          <w:cantSplit w:val="false"/>
        </w:trPr>
        <w:tc>
          <w:tcPr>
            <w:tcW w:type="dxa" w:w="2228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41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lang w:eastAsia="ru-RU"/>
              </w:rPr>
              <w:t>Викторина «Моя Россия – моя страна»</w:t>
            </w:r>
          </w:p>
        </w:tc>
        <w:tc>
          <w:tcPr>
            <w:tcW w:type="dxa" w:w="10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  <w:vAlign w:val="center"/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</w:p>
        </w:tc>
        <w:tc>
          <w:tcPr>
            <w:tcW w:type="dxa" w:w="2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>Сопина В.В.</w:t>
              <w:br/>
              <w:t>Лебедев В.В.</w:t>
              <w:br/>
              <w:t>Бажан О.А.</w:t>
            </w:r>
          </w:p>
          <w:p>
            <w:pPr>
              <w:pStyle w:val="style61"/>
              <w:spacing w:after="120" w:before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hRule="atLeast" w:val="876"/>
          <w:cantSplit w:val="false"/>
        </w:trPr>
        <w:tc>
          <w:tcPr>
            <w:tcW w:type="dxa" w:w="222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type="dxa" w:w="4143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  <w:shd w:fill="F9F9F7" w:val="clear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  <w:shd w:fill="F9F9F7" w:val="clear"/>
              </w:rPr>
              <w:t>Познавательно-развлекательная игра «Звёздный час»</w:t>
            </w:r>
          </w:p>
        </w:tc>
        <w:tc>
          <w:tcPr>
            <w:tcW w:type="dxa" w:w="1055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  <w:vAlign w:val="center"/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10-11 </w:t>
            </w:r>
          </w:p>
        </w:tc>
        <w:tc>
          <w:tcPr>
            <w:tcW w:type="dxa" w:w="2041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>Сопина В.В.</w:t>
              <w:br/>
              <w:t>Быкова О.С.</w:t>
            </w:r>
          </w:p>
        </w:tc>
      </w:tr>
      <w:tr>
        <w:trPr>
          <w:trHeight w:hRule="atLeast" w:val="1406"/>
          <w:cantSplit w:val="false"/>
        </w:trPr>
        <w:tc>
          <w:tcPr>
            <w:tcW w:type="dxa" w:w="222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Апрель 2020</w:t>
            </w:r>
          </w:p>
        </w:tc>
        <w:tc>
          <w:tcPr>
            <w:tcW w:type="dxa" w:w="414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eastAsia="Calibri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cs="Times New Roman" w:eastAsia="Calibri" w:hAnsi="Times New Roman"/>
                <w:bCs/>
                <w:iCs/>
                <w:sz w:val="24"/>
                <w:szCs w:val="24"/>
              </w:rPr>
              <w:t>Видеоконференция "Роль информационных технологий при построении карт, знакомство с Гугл Планета Земля,</w:t>
            </w:r>
            <w:bookmarkStart w:id="1" w:name="docs-internal-guid-669f90f4-7fff-9b04-ae"/>
            <w:bookmarkEnd w:id="1"/>
            <w:r>
              <w:rPr>
                <w:rFonts w:ascii="Times New Roman" w:cs="Times New Roman" w:eastAsia="Calibri" w:hAnsi="Times New Roman"/>
                <w:bCs/>
                <w:iCs/>
                <w:sz w:val="24"/>
                <w:szCs w:val="24"/>
              </w:rPr>
              <w:t xml:space="preserve"> QGIS»</w:t>
            </w:r>
          </w:p>
        </w:tc>
        <w:tc>
          <w:tcPr>
            <w:tcW w:type="dxa" w:w="105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  <w:vAlign w:val="center"/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6-11</w:t>
            </w:r>
          </w:p>
        </w:tc>
        <w:tc>
          <w:tcPr>
            <w:tcW w:type="dxa" w:w="204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68"/>
            </w:tcMar>
          </w:tcPr>
          <w:p>
            <w:pPr>
              <w:pStyle w:val="style61"/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color w:val="000000"/>
                <w:sz w:val="24"/>
                <w:szCs w:val="24"/>
              </w:rPr>
              <w:t>Сопина В.В.</w:t>
              <w:br/>
              <w:t>Лебедев В.В.</w:t>
            </w:r>
          </w:p>
          <w:p>
            <w:pPr>
              <w:pStyle w:val="style61"/>
              <w:spacing w:after="120" w:before="0"/>
              <w:contextualSpacing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</w:p>
    <w:tbl>
      <w:tblPr>
        <w:jc w:val="left"/>
        <w:tblInd w:type="dxa" w:w="-15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98"/>
          <w:bottom w:type="dxa" w:w="0"/>
          <w:right w:type="dxa" w:w="108"/>
        </w:tblCellMar>
      </w:tblPr>
      <w:tblGrid>
        <w:gridCol w:w="9482"/>
      </w:tblGrid>
      <w:tr>
        <w:trPr>
          <w:cantSplit w:val="false"/>
        </w:trPr>
        <w:tc>
          <w:tcPr>
            <w:tcW w:type="dxa" w:w="9482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Методическая неделя по теме: 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i/>
                <w:sz w:val="24"/>
                <w:szCs w:val="24"/>
              </w:rPr>
              <w:t xml:space="preserve">«Современные образовательные технологии в формировании ключевых компетенций обучающихся».      </w:t>
            </w:r>
          </w:p>
        </w:tc>
      </w:tr>
      <w:tr>
        <w:trPr>
          <w:cantSplit w:val="false"/>
        </w:trPr>
        <w:tc>
          <w:tcPr>
            <w:tcW w:type="dxa" w:w="1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type="dxa" w:w="1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Биология, География,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Открытые уроки, мастер-классы,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круглые столы</w:t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18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5-11 кл</w:t>
            </w:r>
          </w:p>
        </w:tc>
        <w:tc>
          <w:tcPr>
            <w:tcW w:type="dxa" w:w="1897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9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Члены МО</w:t>
            </w:r>
          </w:p>
        </w:tc>
      </w:tr>
    </w:tbl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9. План проведения заседаний МО</w:t>
      </w:r>
    </w:p>
    <w:tbl>
      <w:tblPr>
        <w:jc w:val="left"/>
        <w:tblInd w:type="dxa" w:w="-8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8"/>
          <w:bottom w:type="dxa" w:w="0"/>
          <w:right w:type="dxa" w:w="108"/>
        </w:tblCellMar>
      </w:tblPr>
      <w:tblGrid>
        <w:gridCol w:w="654"/>
        <w:gridCol w:w="7407"/>
        <w:gridCol w:w="1387"/>
      </w:tblGrid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Повестка заседания (рассматриваемые вопросы)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>
        <w:trPr>
          <w:cantSplit w:val="false"/>
        </w:trPr>
        <w:tc>
          <w:tcPr>
            <w:tcW w:type="dxa" w:w="944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tabs>
                <w:tab w:leader="none" w:pos="284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МО за 2018-2019 учебный год.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tabs>
                <w:tab w:leader="none" w:pos="284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плана работы МО на 2019-2020 учебный год.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tabs>
                <w:tab w:leader="none" w:pos="284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методической темы МО на 2019-2020 учебный год.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pacing w:after="0" w:before="0" w:line="100" w:lineRule="atLeast"/>
              <w:ind w:hanging="0" w:left="0" w:right="30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методическими письмами БелИРО по предметам, рекомендованными на 2019- 2020 учебный год.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pacing w:after="0" w:before="0" w:line="100" w:lineRule="atLeast"/>
              <w:ind w:hanging="0" w:left="0" w:right="72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индивидуальных тем самообразования членов МО и плана реализации тем самообразования на 2019-2020 учебный год.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pacing w:after="0" w:before="0" w:line="100" w:lineRule="atLeast"/>
              <w:ind w:hanging="0" w:left="0" w:right="72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календарно- тематического планирования по предметам учебного плана на 2019-2020 учебный год.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tabs>
                <w:tab w:leader="none" w:pos="284" w:val="left"/>
              </w:tabs>
              <w:spacing w:after="0" w:before="0" w:line="100" w:lineRule="atLeast"/>
              <w:ind w:hanging="0" w:left="2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ведению и заполнению школьной документации учителем-предметником (электронного журнала, журнала неаудиторной занятости).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tabs>
                <w:tab w:leader="none" w:pos="284" w:val="left"/>
                <w:tab w:leader="none" w:pos="709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взаимопосещения уроков в  2019-2020 учебном  году.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Сопина В.В.</w:t>
            </w:r>
          </w:p>
        </w:tc>
      </w:tr>
      <w:tr>
        <w:trPr>
          <w:cantSplit w:val="false"/>
        </w:trPr>
        <w:tc>
          <w:tcPr>
            <w:tcW w:type="dxa" w:w="944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учителей-предметников по итогам 1 четверти.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30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членов МО по изучению и использованию в работе методической литературы и периодических изданий.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30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740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Выступление учителя географии Лебедева В.В. по теме  самообразования</w:t>
            </w:r>
          </w:p>
        </w:tc>
        <w:tc>
          <w:tcPr>
            <w:tcW w:type="dxa" w:w="138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 В.В.</w:t>
            </w:r>
          </w:p>
        </w:tc>
      </w:tr>
      <w:tr>
        <w:trPr>
          <w:cantSplit w:val="false"/>
        </w:trPr>
        <w:tc>
          <w:tcPr>
            <w:tcW w:type="dxa" w:w="944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>Январь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учителей-предметников по итогам 2 четверти.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 рабочих программ за 1 полугодие 2019-2020 учебного года.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740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план проведения предметной декады</w:t>
            </w:r>
          </w:p>
        </w:tc>
        <w:tc>
          <w:tcPr>
            <w:tcW w:type="dxa" w:w="138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709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организации взаимопосещения уроков во втором полугодии 2019-2020 учебного года.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Рассмотрение УМК по предметам на 2020-2021 учебный год.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944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Март 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работы учителей-предметников по итогам 3 четверти.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работе членов МО по изучению и использованию в работе методической литературы и периодических изданий.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итогах предметной декады.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740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458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по теме самообразованию учителя биологии Бажан О.А</w:t>
            </w:r>
          </w:p>
        </w:tc>
        <w:tc>
          <w:tcPr>
            <w:tcW w:type="dxa" w:w="1387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458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Бажан О.А.</w:t>
            </w:r>
          </w:p>
        </w:tc>
      </w:tr>
      <w:tr>
        <w:trPr>
          <w:cantSplit w:val="false"/>
        </w:trPr>
        <w:tc>
          <w:tcPr>
            <w:tcW w:type="dxa" w:w="9448"/>
            <w:gridSpan w:val="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/>
                <w:sz w:val="24"/>
                <w:szCs w:val="24"/>
              </w:rPr>
              <w:t xml:space="preserve">Май 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работы учителей-предметников по итогам 4 четверти.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выполнении рабочих программ за 4 четверть.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Отчет членов МО по теме самообразования.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0"/>
              <w:contextualSpacing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Члены МО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458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Выступление по теме самообразованию учителя химии Быковой О. С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Быкова О. С.</w:t>
            </w:r>
          </w:p>
        </w:tc>
      </w:tr>
      <w:tr>
        <w:trPr>
          <w:cantSplit w:val="false"/>
        </w:trPr>
        <w:tc>
          <w:tcPr>
            <w:tcW w:type="dxa" w:w="65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type="dxa" w:w="740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68"/>
              <w:shd w:fill="FFFFFF" w:val="clear"/>
              <w:tabs>
                <w:tab w:leader="none" w:pos="284" w:val="left"/>
                <w:tab w:leader="none" w:pos="353" w:val="left"/>
                <w:tab w:leader="none" w:pos="993" w:val="left"/>
              </w:tabs>
              <w:spacing w:after="0" w:before="0" w:line="100" w:lineRule="atLeast"/>
              <w:ind w:hanging="0" w:left="0" w:right="80"/>
              <w:contextualSpacing w:val="false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работы МО за 2019-2020 учебный год и плана работы МО на 2020-2021 учебный год.</w:t>
            </w:r>
          </w:p>
        </w:tc>
        <w:tc>
          <w:tcPr>
            <w:tcW w:type="dxa" w:w="138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Рук. МО</w:t>
            </w:r>
          </w:p>
        </w:tc>
      </w:tr>
    </w:tbl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</w:pPr>
      <w:r>
        <w:rPr>
          <w:rFonts w:ascii="Times New Roman" w:cs="Times New Roman" w:hAnsi="Times New Roman"/>
          <w:b/>
          <w:bCs/>
          <w:sz w:val="24"/>
          <w:szCs w:val="24"/>
          <w:shd w:fill="FFFFFF" w:val="clear"/>
        </w:rPr>
        <w:t>10. Темы самообразования педагогов</w:t>
      </w:r>
    </w:p>
    <w:tbl>
      <w:tblPr>
        <w:jc w:val="left"/>
        <w:tblInd w:type="dxa" w:w="-85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1516"/>
        <w:gridCol w:w="3704"/>
        <w:gridCol w:w="1099"/>
        <w:gridCol w:w="1898"/>
        <w:gridCol w:w="1474"/>
      </w:tblGrid>
      <w:tr>
        <w:trPr>
          <w:cantSplit w:val="false"/>
        </w:trPr>
        <w:tc>
          <w:tcPr>
            <w:tcW w:type="dxa" w:w="151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Ф.И.О.</w:t>
            </w:r>
          </w:p>
        </w:tc>
        <w:tc>
          <w:tcPr>
            <w:tcW w:type="dxa" w:w="370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Тема самообразования</w:t>
            </w:r>
          </w:p>
        </w:tc>
        <w:tc>
          <w:tcPr>
            <w:tcW w:type="dxa" w:w="10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Период работы над темой</w:t>
            </w:r>
          </w:p>
        </w:tc>
        <w:tc>
          <w:tcPr>
            <w:tcW w:type="dxa" w:w="1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Мероприятия по отчету</w:t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Срок проведения отчета</w:t>
            </w:r>
          </w:p>
        </w:tc>
      </w:tr>
      <w:tr>
        <w:trPr>
          <w:cantSplit w:val="false"/>
        </w:trPr>
        <w:tc>
          <w:tcPr>
            <w:tcW w:type="dxa" w:w="1516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Сопина В.В.</w:t>
            </w:r>
          </w:p>
        </w:tc>
        <w:tc>
          <w:tcPr>
            <w:tcW w:type="dxa" w:w="3704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«Развитие творческих способностей учащихся на уроках биологии программ ФГОС и во внеурочное время»</w:t>
            </w:r>
          </w:p>
        </w:tc>
        <w:tc>
          <w:tcPr>
            <w:tcW w:type="dxa" w:w="1099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2018-2020</w:t>
            </w:r>
          </w:p>
        </w:tc>
        <w:tc>
          <w:tcPr>
            <w:tcW w:type="dxa" w:w="1898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Ноябрь 2019</w:t>
            </w:r>
          </w:p>
        </w:tc>
      </w:tr>
      <w:tr>
        <w:trPr>
          <w:cantSplit w:val="false"/>
        </w:trPr>
        <w:tc>
          <w:tcPr>
            <w:tcW w:type="dxa" w:w="1516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widowControl/>
              <w:suppressAutoHyphens w:val="true"/>
              <w:spacing w:after="200" w:before="0" w:line="276" w:lineRule="auto"/>
              <w:contextualSpacing w:val="false"/>
              <w:rPr/>
            </w:pPr>
            <w:r>
              <w:rPr/>
            </w:r>
          </w:p>
        </w:tc>
        <w:tc>
          <w:tcPr>
            <w:tcW w:type="dxa" w:w="3704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type="dxa" w:w="1099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type="dxa" w:w="18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педсовете</w:t>
            </w:r>
          </w:p>
        </w:tc>
        <w:tc>
          <w:tcPr>
            <w:tcW w:type="dxa" w:w="147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Январь — март 2020</w:t>
            </w:r>
          </w:p>
        </w:tc>
      </w:tr>
      <w:tr>
        <w:trPr>
          <w:cantSplit w:val="false"/>
        </w:trPr>
        <w:tc>
          <w:tcPr>
            <w:tcW w:type="dxa" w:w="151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Бажан О.А.</w:t>
            </w:r>
          </w:p>
        </w:tc>
        <w:tc>
          <w:tcPr>
            <w:tcW w:type="dxa" w:w="370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</w:rPr>
              <w:t>«Актуальные проблемы в преподавании биологии в условиях ФГОС»</w:t>
            </w:r>
          </w:p>
        </w:tc>
        <w:tc>
          <w:tcPr>
            <w:tcW w:type="dxa" w:w="109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2018-2020</w:t>
            </w:r>
          </w:p>
        </w:tc>
        <w:tc>
          <w:tcPr>
            <w:tcW w:type="dxa" w:w="18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type="dxa" w:w="147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Март 2020</w:t>
            </w:r>
          </w:p>
        </w:tc>
      </w:tr>
      <w:tr>
        <w:trPr>
          <w:cantSplit w:val="false"/>
        </w:trPr>
        <w:tc>
          <w:tcPr>
            <w:tcW w:type="dxa" w:w="151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Быкова О.С.</w:t>
            </w:r>
          </w:p>
        </w:tc>
        <w:tc>
          <w:tcPr>
            <w:tcW w:type="dxa" w:w="370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 w:val="false"/>
                <w:iCs w:val="false"/>
                <w:sz w:val="24"/>
                <w:szCs w:val="24"/>
              </w:rPr>
              <w:t>«Формирование универсальных учебных действий обучающихся на уроках химии в  условиях перехода на ФГОС с применением дистанционных образовательных технологий»</w:t>
            </w:r>
          </w:p>
        </w:tc>
        <w:tc>
          <w:tcPr>
            <w:tcW w:type="dxa" w:w="109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2018-2020</w:t>
            </w:r>
          </w:p>
        </w:tc>
        <w:tc>
          <w:tcPr>
            <w:tcW w:type="dxa" w:w="18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type="dxa" w:w="147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Май 2020</w:t>
            </w:r>
          </w:p>
        </w:tc>
      </w:tr>
      <w:tr>
        <w:trPr>
          <w:cantSplit w:val="false"/>
        </w:trPr>
        <w:tc>
          <w:tcPr>
            <w:tcW w:type="dxa" w:w="1516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Лебедев В.В.</w:t>
            </w:r>
          </w:p>
        </w:tc>
        <w:tc>
          <w:tcPr>
            <w:tcW w:type="dxa" w:w="370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color w:val="000000"/>
                <w:sz w:val="24"/>
                <w:szCs w:val="24"/>
              </w:rPr>
              <w:t>"Средства и способы повышения мотивации учащихся при изучении предмета географии"</w:t>
            </w:r>
          </w:p>
        </w:tc>
        <w:tc>
          <w:tcPr>
            <w:tcW w:type="dxa" w:w="1099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2018-2021</w:t>
            </w:r>
          </w:p>
        </w:tc>
        <w:tc>
          <w:tcPr>
            <w:tcW w:type="dxa" w:w="1898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Выступление на заседании МО</w:t>
            </w:r>
          </w:p>
        </w:tc>
        <w:tc>
          <w:tcPr>
            <w:tcW w:type="dxa" w:w="1474"/>
            <w:tcBorders>
              <w:top w:val="nil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Январь 2019</w:t>
            </w:r>
          </w:p>
        </w:tc>
      </w:tr>
    </w:tbl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11. График взаимопосещения уроков</w:t>
      </w:r>
    </w:p>
    <w:tbl>
      <w:tblPr>
        <w:jc w:val="left"/>
        <w:tblInd w:type="dxa" w:w="-179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23"/>
          <w:bottom w:type="dxa" w:w="0"/>
          <w:right w:type="dxa" w:w="108"/>
        </w:tblCellMar>
      </w:tblPr>
      <w:tblGrid>
        <w:gridCol w:w="1084"/>
        <w:gridCol w:w="1742"/>
        <w:gridCol w:w="5122"/>
        <w:gridCol w:w="1799"/>
      </w:tblGrid>
      <w:tr>
        <w:trPr>
          <w:cantSplit w:val="false"/>
        </w:trPr>
        <w:tc>
          <w:tcPr>
            <w:tcW w:type="dxa" w:w="1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1"/>
                <w:szCs w:val="21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1"/>
                <w:szCs w:val="21"/>
              </w:rPr>
              <w:t>Дата</w:t>
            </w:r>
          </w:p>
        </w:tc>
        <w:tc>
          <w:tcPr>
            <w:tcW w:type="dxa" w:w="1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Ф.И.О. (кто проводит урок)</w:t>
            </w:r>
          </w:p>
        </w:tc>
        <w:tc>
          <w:tcPr>
            <w:tcW w:type="dxa" w:w="51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Цель посещения</w:t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i/>
                <w:iCs/>
                <w:sz w:val="24"/>
                <w:szCs w:val="24"/>
              </w:rPr>
              <w:t>Ф.И.О. посещающего урок</w:t>
            </w:r>
          </w:p>
        </w:tc>
      </w:tr>
      <w:tr>
        <w:trPr>
          <w:cantSplit w:val="false"/>
        </w:trPr>
        <w:tc>
          <w:tcPr>
            <w:tcW w:type="dxa" w:w="108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Октябрь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Ноябрь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Декабрь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Январь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Февраль</w:t>
              <w:br/>
              <w:t>Март</w:t>
              <w:br/>
              <w:t>Апрель</w:t>
              <w:br/>
              <w:t>Май</w:t>
            </w:r>
          </w:p>
        </w:tc>
        <w:tc>
          <w:tcPr>
            <w:tcW w:type="dxa" w:w="17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Сопина В.В.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Бажан О.А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Лебедев В.В.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Быкова О.С</w:t>
              <w:br/>
              <w:t>Сопина В.В.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Бажан О.А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Лебедев В.В.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both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Быкова О.С,</w:t>
            </w:r>
          </w:p>
        </w:tc>
        <w:tc>
          <w:tcPr>
            <w:tcW w:type="dxa" w:w="51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0"/>
              <w:spacing w:after="200" w:before="0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- Оценить методические приемы, обеспечивающие включение  обучающегося в активную учебно-познавательскую деятельность. </w:t>
              <w:br/>
              <w:t>- Проанализировать приемы развития творческих способностей и познавательной самостоятельности обучающихся.</w:t>
              <w:br/>
              <w:t xml:space="preserve">- </w:t>
            </w: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Обмен опытом в рамках повышение собственного профессионального уровня.</w:t>
            </w:r>
          </w:p>
        </w:tc>
        <w:tc>
          <w:tcPr>
            <w:tcW w:type="dxa" w:w="179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left w:type="dxa" w:w="23"/>
            </w:tcMar>
          </w:tcPr>
          <w:p>
            <w:pPr>
              <w:pStyle w:val="style61"/>
              <w:spacing w:after="120" w:before="0"/>
              <w:contextualSpacing w:val="false"/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b w:val="false"/>
                <w:bCs w:val="false"/>
                <w:sz w:val="24"/>
                <w:szCs w:val="24"/>
              </w:rPr>
              <w:t>Ерёмина И.В.</w:t>
              <w:br/>
              <w:t>Бажан О.А.</w:t>
              <w:br/>
              <w:t>Лебедев В.В.</w:t>
              <w:br/>
              <w:t>Быкова О. С.</w:t>
              <w:br/>
              <w:br/>
            </w:r>
          </w:p>
        </w:tc>
      </w:tr>
    </w:tbl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</w:p>
    <w:sectPr>
      <w:type w:val="nextPage"/>
      <w:pgSz w:h="16838" w:w="11906"/>
      <w:pgMar w:bottom="993" w:footer="0" w:gutter="0" w:header="0" w:left="1701" w:right="850" w:top="1134"/>
      <w:pgNumType w:fmt="decimal"/>
      <w:formProt w:val="false"/>
      <w:textDirection w:val="lrTb"/>
      <w:docGrid w:charSpace="73728" w:linePitch="58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decimal"/>
      <w:lvlText w:val="%2."/>
      <w:lvlJc w:val="left"/>
      <w:pPr>
        <w:tabs>
          <w:tab w:pos="1080" w:val="num"/>
        </w:tabs>
        <w:ind w:hanging="360" w:left="1080"/>
      </w:pPr>
    </w:lvl>
    <w:lvl w:ilvl="2">
      <w:start w:val="1"/>
      <w:numFmt w:val="decimal"/>
      <w:lvlText w:val="%3."/>
      <w:lvlJc w:val="left"/>
      <w:pPr>
        <w:tabs>
          <w:tab w:pos="1440" w:val="num"/>
        </w:tabs>
        <w:ind w:hanging="360" w:left="1440"/>
      </w:pPr>
    </w:lvl>
    <w:lvl w:ilvl="3">
      <w:start w:val="1"/>
      <w:numFmt w:val="decimal"/>
      <w:lvlText w:val="%4."/>
      <w:lvlJc w:val="left"/>
      <w:pPr>
        <w:tabs>
          <w:tab w:pos="1800" w:val="num"/>
        </w:tabs>
        <w:ind w:hanging="360" w:left="1800"/>
      </w:pPr>
    </w:lvl>
    <w:lvl w:ilvl="4">
      <w:start w:val="1"/>
      <w:numFmt w:val="decimal"/>
      <w:lvlText w:val="%5."/>
      <w:lvlJc w:val="left"/>
      <w:pPr>
        <w:tabs>
          <w:tab w:pos="2160" w:val="num"/>
        </w:tabs>
        <w:ind w:hanging="360" w:left="2160"/>
      </w:pPr>
    </w:lvl>
    <w:lvl w:ilvl="5">
      <w:start w:val="1"/>
      <w:numFmt w:val="decimal"/>
      <w:lvlText w:val="%6."/>
      <w:lvlJc w:val="left"/>
      <w:pPr>
        <w:tabs>
          <w:tab w:pos="2520" w:val="num"/>
        </w:tabs>
        <w:ind w:hanging="360" w:left="2520"/>
      </w:pPr>
    </w:lvl>
    <w:lvl w:ilvl="6">
      <w:start w:val="1"/>
      <w:numFmt w:val="decimal"/>
      <w:lvlText w:val="%7."/>
      <w:lvlJc w:val="left"/>
      <w:pPr>
        <w:tabs>
          <w:tab w:pos="2880" w:val="num"/>
        </w:tabs>
        <w:ind w:hanging="360" w:left="2880"/>
      </w:pPr>
    </w:lvl>
    <w:lvl w:ilvl="7">
      <w:start w:val="1"/>
      <w:numFmt w:val="decimal"/>
      <w:lvlText w:val="%8."/>
      <w:lvlJc w:val="left"/>
      <w:pPr>
        <w:tabs>
          <w:tab w:pos="3240" w:val="num"/>
        </w:tabs>
        <w:ind w:hanging="360" w:left="3240"/>
      </w:pPr>
    </w:lvl>
    <w:lvl w:ilvl="8">
      <w:start w:val="1"/>
      <w:numFmt w:val="decimal"/>
      <w:lvlText w:val="%9."/>
      <w:lvlJc w:val="left"/>
      <w:pPr>
        <w:tabs>
          <w:tab w:pos="3600" w:val="num"/>
        </w:tabs>
        <w:ind w:hanging="360" w:left="36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3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overflowPunct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00000A"/>
      <w:sz w:val="22"/>
      <w:szCs w:val="22"/>
      <w:lang w:bidi="ar-SA" w:eastAsia="en-US" w:val="ru-RU"/>
    </w:rPr>
  </w:style>
  <w:style w:styleId="style1" w:type="paragraph">
    <w:name w:val="Заголовок 1"/>
    <w:basedOn w:val="style0"/>
    <w:next w:val="style1"/>
    <w:pPr>
      <w:spacing w:after="280" w:before="280" w:line="100" w:lineRule="atLeast"/>
      <w:contextualSpacing w:val="false"/>
    </w:pPr>
    <w:rPr>
      <w:rFonts w:ascii="Arial" w:cs="Arial" w:eastAsia="Times New Roman" w:hAnsi="Arial"/>
      <w:b/>
      <w:bCs/>
      <w:color w:val="199043"/>
      <w:sz w:val="28"/>
      <w:szCs w:val="28"/>
      <w:lang w:eastAsia="ru-RU"/>
    </w:rPr>
  </w:style>
  <w:style w:styleId="style2" w:type="paragraph">
    <w:name w:val="Заголовок 2"/>
    <w:basedOn w:val="style60"/>
    <w:next w:val="style2"/>
    <w:pPr/>
    <w:rPr/>
  </w:style>
  <w:style w:styleId="style3" w:type="paragraph">
    <w:name w:val="Заголовок 3"/>
    <w:basedOn w:val="style60"/>
    <w:next w:val="style3"/>
    <w:pPr/>
    <w:rPr/>
  </w:style>
  <w:style w:styleId="style15" w:type="character">
    <w:name w:val="Default Paragraph Font"/>
    <w:next w:val="style15"/>
    <w:rPr/>
  </w:style>
  <w:style w:styleId="style16" w:type="character">
    <w:name w:val="Маркеры списка"/>
    <w:next w:val="style16"/>
    <w:rPr>
      <w:rFonts w:ascii="OpenSymbol" w:cs="OpenSymbol" w:eastAsia="OpenSymbol" w:hAnsi="OpenSymbol"/>
    </w:rPr>
  </w:style>
  <w:style w:styleId="style17" w:type="character">
    <w:name w:val="ListLabel 1"/>
    <w:next w:val="style17"/>
    <w:rPr>
      <w:rFonts w:cs="Symbol"/>
    </w:rPr>
  </w:style>
  <w:style w:styleId="style18" w:type="character">
    <w:name w:val="ListLabel 2"/>
    <w:next w:val="style18"/>
    <w:rPr>
      <w:rFonts w:cs="OpenSymbol"/>
    </w:rPr>
  </w:style>
  <w:style w:styleId="style19" w:type="character">
    <w:name w:val="Основной текст_"/>
    <w:basedOn w:val="style15"/>
    <w:next w:val="style19"/>
    <w:rPr>
      <w:rFonts w:ascii="Times New Roman" w:cs="Times New Roman" w:eastAsia="Times New Roman" w:hAnsi="Times New Roman"/>
      <w:sz w:val="18"/>
      <w:szCs w:val="18"/>
      <w:shd w:fill="FFFFFF" w:val="clear"/>
    </w:rPr>
  </w:style>
  <w:style w:styleId="style20" w:type="character">
    <w:name w:val="Основной текст + 8 pt"/>
    <w:basedOn w:val="style19"/>
    <w:next w:val="style20"/>
    <w:rPr>
      <w:color w:val="000000"/>
      <w:spacing w:val="0"/>
      <w:w w:val="100"/>
      <w:sz w:val="16"/>
      <w:szCs w:val="16"/>
      <w:lang w:val="ru-RU"/>
    </w:rPr>
  </w:style>
  <w:style w:styleId="style21" w:type="character">
    <w:name w:val="Основной текст1"/>
    <w:basedOn w:val="style19"/>
    <w:next w:val="style21"/>
    <w:rPr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u w:val="none"/>
      <w:lang w:val="ru-RU"/>
    </w:rPr>
  </w:style>
  <w:style w:styleId="style22" w:type="character">
    <w:name w:val="ListLabel 3"/>
    <w:next w:val="style22"/>
    <w:rPr>
      <w:rFonts w:cs="Symbol"/>
    </w:rPr>
  </w:style>
  <w:style w:styleId="style23" w:type="character">
    <w:name w:val="ListLabel 4"/>
    <w:next w:val="style23"/>
    <w:rPr>
      <w:rFonts w:cs="OpenSymbol"/>
    </w:rPr>
  </w:style>
  <w:style w:styleId="style24" w:type="character">
    <w:name w:val="ListLabel 5"/>
    <w:next w:val="style24"/>
    <w:rPr>
      <w:rFonts w:cs="Symbol"/>
    </w:rPr>
  </w:style>
  <w:style w:styleId="style25" w:type="character">
    <w:name w:val="ListLabel 6"/>
    <w:next w:val="style25"/>
    <w:rPr>
      <w:rFonts w:cs="OpenSymbol"/>
    </w:rPr>
  </w:style>
  <w:style w:styleId="style26" w:type="character">
    <w:name w:val="ListLabel 7"/>
    <w:next w:val="style26"/>
    <w:rPr>
      <w:rFonts w:cs="Symbol"/>
    </w:rPr>
  </w:style>
  <w:style w:styleId="style27" w:type="character">
    <w:name w:val="ListLabel 8"/>
    <w:next w:val="style27"/>
    <w:rPr>
      <w:rFonts w:cs="OpenSymbol"/>
    </w:rPr>
  </w:style>
  <w:style w:styleId="style28" w:type="character">
    <w:name w:val="ListLabel 9"/>
    <w:next w:val="style28"/>
    <w:rPr>
      <w:rFonts w:cs="Symbol"/>
    </w:rPr>
  </w:style>
  <w:style w:styleId="style29" w:type="character">
    <w:name w:val="ListLabel 10"/>
    <w:next w:val="style29"/>
    <w:rPr>
      <w:rFonts w:cs="OpenSymbol"/>
    </w:rPr>
  </w:style>
  <w:style w:styleId="style30" w:type="character">
    <w:name w:val="ListLabel 11"/>
    <w:next w:val="style30"/>
    <w:rPr>
      <w:rFonts w:cs="Symbol"/>
    </w:rPr>
  </w:style>
  <w:style w:styleId="style31" w:type="character">
    <w:name w:val="ListLabel 12"/>
    <w:next w:val="style31"/>
    <w:rPr>
      <w:rFonts w:cs="OpenSymbol"/>
    </w:rPr>
  </w:style>
  <w:style w:styleId="style32" w:type="character">
    <w:name w:val="ListLabel 13"/>
    <w:next w:val="style32"/>
    <w:rPr>
      <w:rFonts w:cs="Symbol"/>
    </w:rPr>
  </w:style>
  <w:style w:styleId="style33" w:type="character">
    <w:name w:val="ListLabel 14"/>
    <w:next w:val="style33"/>
    <w:rPr>
      <w:rFonts w:cs="OpenSymbol"/>
    </w:rPr>
  </w:style>
  <w:style w:styleId="style34" w:type="character">
    <w:name w:val="ListLabel 15"/>
    <w:next w:val="style34"/>
    <w:rPr>
      <w:rFonts w:cs="Symbol"/>
    </w:rPr>
  </w:style>
  <w:style w:styleId="style35" w:type="character">
    <w:name w:val="ListLabel 16"/>
    <w:next w:val="style35"/>
    <w:rPr>
      <w:rFonts w:cs="OpenSymbol"/>
    </w:rPr>
  </w:style>
  <w:style w:styleId="style36" w:type="character">
    <w:name w:val="ListLabel 17"/>
    <w:next w:val="style36"/>
    <w:rPr>
      <w:rFonts w:cs="Symbol"/>
    </w:rPr>
  </w:style>
  <w:style w:styleId="style37" w:type="character">
    <w:name w:val="ListLabel 18"/>
    <w:next w:val="style37"/>
    <w:rPr>
      <w:rFonts w:cs="OpenSymbol"/>
    </w:rPr>
  </w:style>
  <w:style w:styleId="style38" w:type="character">
    <w:name w:val="ListLabel 19"/>
    <w:next w:val="style38"/>
    <w:rPr>
      <w:rFonts w:cs="Symbol"/>
    </w:rPr>
  </w:style>
  <w:style w:styleId="style39" w:type="character">
    <w:name w:val="ListLabel 20"/>
    <w:next w:val="style39"/>
    <w:rPr>
      <w:rFonts w:cs="OpenSymbol"/>
    </w:rPr>
  </w:style>
  <w:style w:styleId="style40" w:type="character">
    <w:name w:val="ListLabel 21"/>
    <w:next w:val="style40"/>
    <w:rPr>
      <w:rFonts w:cs="Symbol"/>
    </w:rPr>
  </w:style>
  <w:style w:styleId="style41" w:type="character">
    <w:name w:val="ListLabel 22"/>
    <w:next w:val="style41"/>
    <w:rPr>
      <w:rFonts w:cs="OpenSymbol"/>
    </w:rPr>
  </w:style>
  <w:style w:styleId="style42" w:type="character">
    <w:name w:val="ListLabel 23"/>
    <w:next w:val="style42"/>
    <w:rPr>
      <w:rFonts w:cs="Symbol"/>
    </w:rPr>
  </w:style>
  <w:style w:styleId="style43" w:type="character">
    <w:name w:val="ListLabel 24"/>
    <w:next w:val="style43"/>
    <w:rPr>
      <w:rFonts w:cs="OpenSymbol"/>
    </w:rPr>
  </w:style>
  <w:style w:styleId="style44" w:type="character">
    <w:name w:val="ListLabel 25"/>
    <w:next w:val="style44"/>
    <w:rPr>
      <w:rFonts w:cs="Symbol"/>
    </w:rPr>
  </w:style>
  <w:style w:styleId="style45" w:type="character">
    <w:name w:val="ListLabel 26"/>
    <w:next w:val="style45"/>
    <w:rPr>
      <w:rFonts w:cs="OpenSymbol"/>
    </w:rPr>
  </w:style>
  <w:style w:styleId="style46" w:type="character">
    <w:name w:val="ListLabel 27"/>
    <w:next w:val="style46"/>
    <w:rPr>
      <w:rFonts w:cs="Symbol"/>
    </w:rPr>
  </w:style>
  <w:style w:styleId="style47" w:type="character">
    <w:name w:val="ListLabel 28"/>
    <w:next w:val="style47"/>
    <w:rPr>
      <w:rFonts w:cs="OpenSymbol"/>
    </w:rPr>
  </w:style>
  <w:style w:styleId="style48" w:type="character">
    <w:name w:val="ListLabel 29"/>
    <w:next w:val="style48"/>
    <w:rPr>
      <w:rFonts w:cs="Symbol"/>
    </w:rPr>
  </w:style>
  <w:style w:styleId="style49" w:type="character">
    <w:name w:val="ListLabel 30"/>
    <w:next w:val="style49"/>
    <w:rPr>
      <w:rFonts w:cs="OpenSymbol"/>
    </w:rPr>
  </w:style>
  <w:style w:styleId="style50" w:type="character">
    <w:name w:val="WW8Num2z0"/>
    <w:next w:val="style50"/>
    <w:rPr>
      <w:rFonts w:ascii="Times New Roman" w:cs="Times New Roman" w:eastAsia="Times New Roman" w:hAnsi="Times New Roman"/>
      <w:sz w:val="28"/>
      <w:szCs w:val="24"/>
      <w:lang w:eastAsia="ru-RU"/>
    </w:rPr>
  </w:style>
  <w:style w:styleId="style51" w:type="character">
    <w:name w:val="WW8Num2z1"/>
    <w:next w:val="style51"/>
    <w:rPr/>
  </w:style>
  <w:style w:styleId="style52" w:type="character">
    <w:name w:val="WW8Num2z2"/>
    <w:next w:val="style52"/>
    <w:rPr/>
  </w:style>
  <w:style w:styleId="style53" w:type="character">
    <w:name w:val="WW8Num2z3"/>
    <w:next w:val="style53"/>
    <w:rPr/>
  </w:style>
  <w:style w:styleId="style54" w:type="character">
    <w:name w:val="WW8Num2z4"/>
    <w:next w:val="style54"/>
    <w:rPr/>
  </w:style>
  <w:style w:styleId="style55" w:type="character">
    <w:name w:val="WW8Num2z5"/>
    <w:next w:val="style55"/>
    <w:rPr/>
  </w:style>
  <w:style w:styleId="style56" w:type="character">
    <w:name w:val="WW8Num2z6"/>
    <w:next w:val="style56"/>
    <w:rPr/>
  </w:style>
  <w:style w:styleId="style57" w:type="character">
    <w:name w:val="WW8Num2z7"/>
    <w:next w:val="style57"/>
    <w:rPr/>
  </w:style>
  <w:style w:styleId="style58" w:type="character">
    <w:name w:val="WW8Num2z8"/>
    <w:next w:val="style58"/>
    <w:rPr/>
  </w:style>
  <w:style w:styleId="style59" w:type="character">
    <w:name w:val="Интернет-ссылка"/>
    <w:next w:val="style59"/>
    <w:rPr>
      <w:color w:val="000080"/>
      <w:u w:val="single"/>
      <w:lang w:bidi="zxx-" w:eastAsia="zxx-" w:val="zxx-"/>
    </w:rPr>
  </w:style>
  <w:style w:styleId="style60" w:type="paragraph">
    <w:name w:val="Заголовок"/>
    <w:basedOn w:val="style0"/>
    <w:next w:val="style61"/>
    <w:pPr>
      <w:keepNext/>
      <w:spacing w:after="120" w:before="240"/>
      <w:contextualSpacing w:val="false"/>
    </w:pPr>
    <w:rPr>
      <w:rFonts w:ascii="Arial" w:cs="Arial Unicode MS" w:eastAsia="Arial Unicode MS" w:hAnsi="Arial"/>
      <w:sz w:val="28"/>
      <w:szCs w:val="28"/>
    </w:rPr>
  </w:style>
  <w:style w:styleId="style61" w:type="paragraph">
    <w:name w:val="Основной текст"/>
    <w:basedOn w:val="style0"/>
    <w:next w:val="style61"/>
    <w:pPr>
      <w:spacing w:after="120" w:before="0"/>
      <w:contextualSpacing w:val="false"/>
    </w:pPr>
    <w:rPr/>
  </w:style>
  <w:style w:styleId="style62" w:type="paragraph">
    <w:name w:val="Список"/>
    <w:basedOn w:val="style61"/>
    <w:next w:val="style62"/>
    <w:pPr/>
    <w:rPr/>
  </w:style>
  <w:style w:styleId="style63" w:type="paragraph">
    <w:name w:val="Название"/>
    <w:basedOn w:val="style0"/>
    <w:next w:val="style63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64" w:type="paragraph">
    <w:name w:val="Указатель"/>
    <w:basedOn w:val="style0"/>
    <w:next w:val="style64"/>
    <w:pPr>
      <w:suppressLineNumbers/>
    </w:pPr>
    <w:rPr/>
  </w:style>
  <w:style w:styleId="style65" w:type="paragraph">
    <w:name w:val="Содержимое таблицы"/>
    <w:basedOn w:val="style0"/>
    <w:next w:val="style65"/>
    <w:pPr/>
    <w:rPr/>
  </w:style>
  <w:style w:styleId="style66" w:type="paragraph">
    <w:name w:val="Заголовок таблицы"/>
    <w:basedOn w:val="style65"/>
    <w:next w:val="style66"/>
    <w:pPr/>
    <w:rPr/>
  </w:style>
  <w:style w:styleId="style67" w:type="paragraph">
    <w:name w:val="Default"/>
    <w:next w:val="style67"/>
    <w:pPr>
      <w:widowControl/>
      <w:suppressAutoHyphens w:val="true"/>
      <w:overflowPunct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000000"/>
      <w:sz w:val="24"/>
      <w:szCs w:val="24"/>
      <w:lang w:bidi="hi-IN" w:eastAsia="ru-RU" w:val="ru-RU"/>
    </w:rPr>
  </w:style>
  <w:style w:styleId="style68" w:type="paragraph">
    <w:name w:val="Основной текст3"/>
    <w:basedOn w:val="style0"/>
    <w:next w:val="style68"/>
    <w:pPr>
      <w:widowControl w:val="false"/>
      <w:shd w:fill="FFFFFF" w:val="clear"/>
      <w:spacing w:after="0" w:before="180" w:line="219" w:lineRule="exact"/>
      <w:ind w:hanging="280" w:left="0" w:right="0"/>
      <w:contextualSpacing w:val="false"/>
      <w:jc w:val="center"/>
    </w:pPr>
    <w:rPr>
      <w:rFonts w:ascii="Times New Roman" w:cs="Times New Roman" w:eastAsia="Times New Roman" w:hAnsi="Times New Roman"/>
      <w:sz w:val="18"/>
      <w:szCs w:val="18"/>
    </w:rPr>
  </w:style>
  <w:style w:styleId="style69" w:type="paragraph">
    <w:name w:val="Цитата"/>
    <w:basedOn w:val="style0"/>
    <w:next w:val="style69"/>
    <w:pPr/>
    <w:rPr/>
  </w:style>
  <w:style w:styleId="style70" w:type="paragraph">
    <w:name w:val="Заглавие"/>
    <w:basedOn w:val="style60"/>
    <w:next w:val="style70"/>
    <w:pPr/>
    <w:rPr/>
  </w:style>
  <w:style w:styleId="style71" w:type="paragraph">
    <w:name w:val="Подзаголовок"/>
    <w:basedOn w:val="style60"/>
    <w:next w:val="style71"/>
    <w:pPr/>
    <w:rPr/>
  </w:style>
  <w:style w:styleId="style72" w:type="paragraph">
    <w:name w:val="Обычный (веб)"/>
    <w:basedOn w:val="style0"/>
    <w:next w:val="style72"/>
    <w:pPr>
      <w:spacing w:after="280" w:before="280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ebplus.info/index.php?page=358&amp;calendar=ecology&amp;holiday=703&amp;year=2019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Application>LibreOffice/4.1.3.2$MacOSX_x86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2017-03-24T10:17:00Z</dcterms:created>
  <dc:creator>ЗАВУЧ-1</dc:creator>
  <cp:lastPrinted>2018-01-10T15:38:49Z</cp:lastPrinted>
  <dcterms:modified xsi:type="dcterms:W3CDTF">2019-06-11T23:25:16Z</dcterms:modified>
  <cp:revision>5</cp:revision>
</cp:coreProperties>
</file>